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0353E" w:rsidRPr="0090353E">
        <w:rPr>
          <w:rFonts w:cs="Arial"/>
          <w:szCs w:val="22"/>
        </w:rPr>
        <w:t xml:space="preserve">выполнение работ </w:t>
      </w:r>
      <w:r w:rsidR="00B749B6" w:rsidRPr="00B749B6">
        <w:rPr>
          <w:rFonts w:cs="Arial"/>
          <w:szCs w:val="22"/>
        </w:rPr>
        <w:t>по ремонту железобетонных опор ВЛ-35 кВ "Заводская-1", "Заводская-5", "Мазутная", ВЛ-110 кВ "Топливная" вне графика простоев цех №17</w:t>
      </w:r>
      <w:r w:rsidR="00EE4641" w:rsidRPr="0090353E">
        <w:rPr>
          <w:rFonts w:cs="Arial"/>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p>
    <w:p w:rsidR="0090353E" w:rsidRPr="0090353E" w:rsidRDefault="0090353E" w:rsidP="0090353E">
      <w:pPr>
        <w:jc w:val="both"/>
        <w:rPr>
          <w:rFonts w:cs="Arial"/>
          <w:szCs w:val="22"/>
        </w:rPr>
      </w:pPr>
      <w:r w:rsidRPr="0090353E">
        <w:rPr>
          <w:rFonts w:cs="Arial"/>
          <w:szCs w:val="22"/>
        </w:rPr>
        <w:t xml:space="preserve">Работы </w:t>
      </w:r>
      <w:r w:rsidR="006208AB">
        <w:rPr>
          <w:szCs w:val="22"/>
        </w:rPr>
        <w:t>по</w:t>
      </w:r>
      <w:r w:rsidR="006208AB" w:rsidRPr="005E5BD8">
        <w:rPr>
          <w:szCs w:val="22"/>
        </w:rPr>
        <w:t xml:space="preserve"> </w:t>
      </w:r>
      <w:r w:rsidR="00B749B6" w:rsidRPr="00BC0BA4">
        <w:rPr>
          <w:szCs w:val="22"/>
        </w:rPr>
        <w:t>ремонту железобетонных опор ВЛ-35</w:t>
      </w:r>
      <w:r w:rsidR="00B749B6" w:rsidRPr="003B33CC">
        <w:rPr>
          <w:b/>
          <w:szCs w:val="22"/>
        </w:rPr>
        <w:t xml:space="preserve"> </w:t>
      </w:r>
      <w:r w:rsidR="00B749B6" w:rsidRPr="00B749B6">
        <w:rPr>
          <w:rFonts w:cs="Arial"/>
          <w:szCs w:val="22"/>
        </w:rPr>
        <w:t>кВ "Заводская-1", "Заводская-5", "Мазутная", ВЛ-110 кВ "Топливная" вне графика простоев цех №17</w:t>
      </w:r>
    </w:p>
    <w:tbl>
      <w:tblPr>
        <w:tblW w:w="0" w:type="auto"/>
        <w:tblInd w:w="-15" w:type="dxa"/>
        <w:tblLayout w:type="fixed"/>
        <w:tblLook w:val="0000" w:firstRow="0" w:lastRow="0" w:firstColumn="0" w:lastColumn="0" w:noHBand="0" w:noVBand="0"/>
      </w:tblPr>
      <w:tblGrid>
        <w:gridCol w:w="549"/>
        <w:gridCol w:w="8505"/>
        <w:gridCol w:w="1134"/>
      </w:tblGrid>
      <w:tr w:rsidR="0090353E" w:rsidTr="002D4697">
        <w:tc>
          <w:tcPr>
            <w:tcW w:w="549"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 п/п</w:t>
            </w:r>
          </w:p>
        </w:tc>
        <w:tc>
          <w:tcPr>
            <w:tcW w:w="8505"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90353E" w:rsidRPr="001737C4" w:rsidRDefault="0090353E" w:rsidP="007845F1">
            <w:pPr>
              <w:snapToGrid w:val="0"/>
              <w:rPr>
                <w:b/>
              </w:rPr>
            </w:pPr>
            <w:r w:rsidRPr="001737C4">
              <w:rPr>
                <w:b/>
              </w:rPr>
              <w:t>Объект</w:t>
            </w:r>
          </w:p>
        </w:tc>
      </w:tr>
      <w:tr w:rsidR="00B749B6" w:rsidTr="002D4697">
        <w:trPr>
          <w:cantSplit/>
          <w:trHeight w:hRule="exact" w:val="1911"/>
        </w:trPr>
        <w:tc>
          <w:tcPr>
            <w:tcW w:w="549" w:type="dxa"/>
            <w:tcBorders>
              <w:top w:val="single" w:sz="4" w:space="0" w:color="000000"/>
              <w:left w:val="single" w:sz="4" w:space="0" w:color="000000"/>
              <w:bottom w:val="single" w:sz="4" w:space="0" w:color="000000"/>
            </w:tcBorders>
          </w:tcPr>
          <w:p w:rsidR="00B749B6" w:rsidRDefault="00B749B6" w:rsidP="00B749B6">
            <w:pPr>
              <w:snapToGrid w:val="0"/>
              <w:rPr>
                <w:sz w:val="24"/>
              </w:rPr>
            </w:pPr>
          </w:p>
        </w:tc>
        <w:tc>
          <w:tcPr>
            <w:tcW w:w="8505" w:type="dxa"/>
            <w:tcBorders>
              <w:top w:val="single" w:sz="4" w:space="0" w:color="000000"/>
              <w:left w:val="single" w:sz="4" w:space="0" w:color="000000"/>
              <w:bottom w:val="single" w:sz="4" w:space="0" w:color="000000"/>
            </w:tcBorders>
            <w:shd w:val="clear" w:color="auto" w:fill="auto"/>
            <w:vAlign w:val="center"/>
          </w:tcPr>
          <w:p w:rsidR="00B749B6" w:rsidRPr="00641A09" w:rsidRDefault="00B749B6" w:rsidP="00B749B6">
            <w:pPr>
              <w:spacing w:before="0"/>
              <w:rPr>
                <w:sz w:val="18"/>
                <w:szCs w:val="18"/>
              </w:rPr>
            </w:pPr>
            <w:r w:rsidRPr="00641A09">
              <w:rPr>
                <w:sz w:val="18"/>
                <w:szCs w:val="18"/>
              </w:rPr>
              <w:t>1. Подготовительные мероприятия (резка шлейфов на опорах, отсоединение провода и грозотроса, отсоединение от контура заземления);</w:t>
            </w:r>
          </w:p>
          <w:p w:rsidR="00B749B6" w:rsidRPr="00641A09" w:rsidRDefault="00B749B6" w:rsidP="00B749B6">
            <w:pPr>
              <w:spacing w:before="0"/>
              <w:rPr>
                <w:sz w:val="18"/>
                <w:szCs w:val="18"/>
              </w:rPr>
            </w:pPr>
            <w:r w:rsidRPr="00641A09">
              <w:rPr>
                <w:sz w:val="18"/>
                <w:szCs w:val="18"/>
              </w:rPr>
              <w:t>2. Ремонт и восстановление геометрической формы ж/б опор;</w:t>
            </w:r>
          </w:p>
          <w:p w:rsidR="00B749B6" w:rsidRPr="00641A09" w:rsidRDefault="00B749B6" w:rsidP="00B749B6">
            <w:pPr>
              <w:spacing w:before="0"/>
              <w:rPr>
                <w:sz w:val="18"/>
                <w:szCs w:val="18"/>
              </w:rPr>
            </w:pPr>
            <w:r w:rsidRPr="00641A09">
              <w:rPr>
                <w:sz w:val="18"/>
                <w:szCs w:val="18"/>
              </w:rPr>
              <w:t>3. Замена ж/б опор;</w:t>
            </w:r>
          </w:p>
          <w:p w:rsidR="00B749B6" w:rsidRPr="00641A09" w:rsidRDefault="00B749B6" w:rsidP="00B749B6">
            <w:pPr>
              <w:spacing w:before="0"/>
              <w:rPr>
                <w:sz w:val="18"/>
                <w:szCs w:val="18"/>
              </w:rPr>
            </w:pPr>
            <w:r w:rsidRPr="00641A09">
              <w:rPr>
                <w:sz w:val="18"/>
                <w:szCs w:val="18"/>
              </w:rPr>
              <w:t>4. Земляные работы.</w:t>
            </w:r>
          </w:p>
          <w:p w:rsidR="00B749B6" w:rsidRPr="00641A09" w:rsidRDefault="00B749B6" w:rsidP="00B749B6">
            <w:pPr>
              <w:spacing w:before="0"/>
              <w:rPr>
                <w:sz w:val="18"/>
                <w:szCs w:val="18"/>
              </w:rPr>
            </w:pPr>
            <w:r w:rsidRPr="00641A09">
              <w:rPr>
                <w:sz w:val="18"/>
                <w:szCs w:val="18"/>
              </w:rPr>
              <w:t>5. Уборка места работ вывоз мусора, восстановление газонов.</w:t>
            </w:r>
          </w:p>
          <w:p w:rsidR="00B749B6" w:rsidRDefault="00B749B6" w:rsidP="00B749B6">
            <w:pPr>
              <w:snapToGrid w:val="0"/>
              <w:spacing w:before="0"/>
            </w:pPr>
            <w:r w:rsidRPr="00087514">
              <w:rPr>
                <w:sz w:val="18"/>
                <w:szCs w:val="18"/>
              </w:rPr>
              <w:t>Подробный перече</w:t>
            </w:r>
            <w:r>
              <w:rPr>
                <w:sz w:val="18"/>
                <w:szCs w:val="18"/>
              </w:rPr>
              <w:t>нь ремонтируемого оборудования</w:t>
            </w:r>
            <w:r w:rsidRPr="00087514">
              <w:rPr>
                <w:sz w:val="18"/>
                <w:szCs w:val="18"/>
              </w:rPr>
              <w:t xml:space="preserve"> и</w:t>
            </w:r>
            <w:r>
              <w:rPr>
                <w:sz w:val="18"/>
                <w:szCs w:val="18"/>
              </w:rPr>
              <w:t xml:space="preserve"> </w:t>
            </w:r>
            <w:r w:rsidRPr="004047CA">
              <w:rPr>
                <w:sz w:val="18"/>
                <w:szCs w:val="18"/>
              </w:rPr>
              <w:t>сооружений</w:t>
            </w:r>
            <w:r w:rsidRPr="00087514">
              <w:rPr>
                <w:sz w:val="18"/>
                <w:szCs w:val="18"/>
              </w:rPr>
              <w:t xml:space="preserve"> указан в утвержденной дефектной ведомости на </w:t>
            </w:r>
            <w:r w:rsidRPr="003B33CC">
              <w:rPr>
                <w:sz w:val="18"/>
                <w:szCs w:val="18"/>
              </w:rPr>
              <w:t>Работы по ремонту железобетонных опор ВЛ-35 кВ "Заводская-1", "Заводская-5", "Мазутная",  ВЛ-110 кВ "Топливная" вне графика простоев цех № 17</w:t>
            </w: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49B6" w:rsidRDefault="00B749B6" w:rsidP="00B749B6">
            <w:pPr>
              <w:snapToGrid w:val="0"/>
              <w:spacing w:before="0"/>
            </w:pPr>
            <w:r>
              <w:t xml:space="preserve"> цех №17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90353E" w:rsidRPr="0090353E">
        <w:rPr>
          <w:szCs w:val="22"/>
        </w:rPr>
        <w:t xml:space="preserve">начало работ – с даты подписания </w:t>
      </w:r>
      <w:r w:rsidR="007845F1" w:rsidRPr="0090353E">
        <w:rPr>
          <w:szCs w:val="22"/>
        </w:rPr>
        <w:t>договора, окончание</w:t>
      </w:r>
      <w:r w:rsidR="0090353E" w:rsidRPr="0090353E">
        <w:rPr>
          <w:szCs w:val="22"/>
        </w:rPr>
        <w:t xml:space="preserve"> работ – 31 декабря 2018 г. Окончание работ в целом и отдельных этапов (в случае их наличия) оформляются двусторонними актами выполненных работ</w:t>
      </w:r>
      <w:r w:rsidR="00F077EA" w:rsidRPr="00F077EA">
        <w:rPr>
          <w:szCs w:val="22"/>
        </w:rPr>
        <w:t>.</w:t>
      </w:r>
    </w:p>
    <w:p w:rsidR="007845F1" w:rsidRPr="007845F1" w:rsidRDefault="00EF1336" w:rsidP="007845F1">
      <w:pPr>
        <w:spacing w:before="0"/>
        <w:jc w:val="both"/>
        <w:rPr>
          <w:szCs w:val="22"/>
        </w:rPr>
      </w:pPr>
      <w:r w:rsidRPr="00EF1336">
        <w:rPr>
          <w:rFonts w:cs="Arial"/>
          <w:b/>
          <w:szCs w:val="22"/>
          <w:u w:val="single"/>
        </w:rPr>
        <w:t>Условия оплаты</w:t>
      </w:r>
      <w:r w:rsidRPr="00EF1336">
        <w:rPr>
          <w:rFonts w:cs="Arial"/>
          <w:szCs w:val="22"/>
        </w:rPr>
        <w:t xml:space="preserve">: </w:t>
      </w:r>
      <w:r w:rsidR="007845F1" w:rsidRPr="007845F1">
        <w:rPr>
          <w:szCs w:val="22"/>
        </w:rPr>
        <w:t>по предоставленным подписанным актам выполненных работ и счетам–фактурам, с отсрочкой платежа 90 (девяносто) календарных дней.</w:t>
      </w:r>
    </w:p>
    <w:p w:rsidR="007845F1" w:rsidRPr="007845F1" w:rsidRDefault="007845F1" w:rsidP="007845F1">
      <w:pPr>
        <w:autoSpaceDE w:val="0"/>
        <w:spacing w:before="0"/>
        <w:ind w:firstLine="567"/>
        <w:jc w:val="both"/>
        <w:rPr>
          <w:szCs w:val="22"/>
        </w:rPr>
      </w:pPr>
      <w:r w:rsidRPr="007845F1">
        <w:rPr>
          <w:szCs w:val="22"/>
        </w:rPr>
        <w:t>Разница в стоимости материалов поставки Подрядчика (возникшая между стоимостью</w:t>
      </w:r>
      <w:r w:rsidRPr="007845F1">
        <w:rPr>
          <w:color w:val="FF0000"/>
          <w:szCs w:val="22"/>
        </w:rPr>
        <w:t xml:space="preserve"> </w:t>
      </w:r>
      <w:r w:rsidRPr="007845F1">
        <w:rPr>
          <w:color w:val="000000"/>
          <w:szCs w:val="22"/>
        </w:rPr>
        <w:t>материалов поставки Подрядчика, согласованной с Заказчиком, и фактической</w:t>
      </w:r>
      <w:r w:rsidRPr="007845F1">
        <w:rPr>
          <w:szCs w:val="22"/>
        </w:rPr>
        <w:t xml:space="preserve"> </w:t>
      </w:r>
      <w:r w:rsidRPr="007845F1">
        <w:rPr>
          <w:color w:val="000000"/>
          <w:szCs w:val="22"/>
        </w:rPr>
        <w:t>стоимостью</w:t>
      </w:r>
      <w:r w:rsidRPr="007845F1">
        <w:rPr>
          <w:szCs w:val="22"/>
        </w:rPr>
        <w:t xml:space="preserve"> приобретенных Подрядчиком материалов) оплате Заказчиком не подлежит.</w:t>
      </w:r>
    </w:p>
    <w:p w:rsidR="007845F1" w:rsidRPr="007845F1" w:rsidRDefault="007845F1" w:rsidP="007845F1">
      <w:pPr>
        <w:autoSpaceDE w:val="0"/>
        <w:spacing w:before="0"/>
        <w:ind w:firstLine="720"/>
        <w:jc w:val="both"/>
        <w:rPr>
          <w:szCs w:val="22"/>
        </w:rPr>
      </w:pPr>
      <w:r w:rsidRPr="007845F1">
        <w:rPr>
          <w:szCs w:val="22"/>
        </w:rPr>
        <w:t>Удорожание работ, не предусмотренное дополнительным соглашением к Договору подряда, оплате не подлежит.</w:t>
      </w:r>
    </w:p>
    <w:p w:rsidR="007845F1" w:rsidRPr="007845F1" w:rsidRDefault="007845F1" w:rsidP="007845F1">
      <w:pPr>
        <w:spacing w:before="0"/>
        <w:ind w:firstLine="567"/>
        <w:jc w:val="both"/>
        <w:rPr>
          <w:szCs w:val="22"/>
        </w:rPr>
      </w:pPr>
      <w:r w:rsidRPr="007845F1">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845F1" w:rsidRPr="007845F1" w:rsidRDefault="007845F1" w:rsidP="007845F1">
      <w:pPr>
        <w:spacing w:before="0"/>
        <w:ind w:firstLine="709"/>
        <w:jc w:val="both"/>
        <w:rPr>
          <w:szCs w:val="22"/>
        </w:rPr>
      </w:pPr>
      <w:r w:rsidRPr="007845F1">
        <w:rPr>
          <w:szCs w:val="22"/>
        </w:rPr>
        <w:t>Выбор подрядчика на проведение комплекса работ будет осуществляться в два этапа:</w:t>
      </w:r>
    </w:p>
    <w:p w:rsidR="007845F1" w:rsidRPr="007845F1" w:rsidRDefault="007845F1" w:rsidP="007845F1">
      <w:pPr>
        <w:numPr>
          <w:ilvl w:val="0"/>
          <w:numId w:val="8"/>
        </w:numPr>
        <w:spacing w:before="0"/>
        <w:jc w:val="both"/>
        <w:rPr>
          <w:szCs w:val="22"/>
        </w:rPr>
      </w:pPr>
      <w:r w:rsidRPr="007845F1">
        <w:rPr>
          <w:szCs w:val="22"/>
        </w:rPr>
        <w:t>Этап оценки соответствия технических частей оферт – по совокупности критериев, указанных в форме «Требования к Контрагенту».</w:t>
      </w:r>
    </w:p>
    <w:p w:rsidR="007845F1" w:rsidRPr="007845F1" w:rsidRDefault="007845F1" w:rsidP="007845F1">
      <w:pPr>
        <w:numPr>
          <w:ilvl w:val="0"/>
          <w:numId w:val="8"/>
        </w:numPr>
        <w:spacing w:before="0"/>
        <w:jc w:val="both"/>
        <w:rPr>
          <w:szCs w:val="22"/>
        </w:rPr>
      </w:pPr>
      <w:r w:rsidRPr="007845F1">
        <w:rPr>
          <w:szCs w:val="22"/>
        </w:rPr>
        <w:t>Этап рассмотрения коммерческих частей оферт – по совокупности следующих критериев оценки:</w:t>
      </w:r>
    </w:p>
    <w:p w:rsidR="007845F1" w:rsidRPr="002D4697" w:rsidRDefault="007845F1" w:rsidP="002D4697">
      <w:pPr>
        <w:spacing w:before="0"/>
        <w:ind w:left="284"/>
        <w:jc w:val="both"/>
        <w:rPr>
          <w:b/>
          <w:szCs w:val="22"/>
        </w:rPr>
      </w:pPr>
      <w:r w:rsidRPr="007845F1">
        <w:rPr>
          <w:szCs w:val="22"/>
        </w:rPr>
        <w:t xml:space="preserve">- </w:t>
      </w:r>
      <w:r w:rsidR="002D4697" w:rsidRPr="002D4697">
        <w:rPr>
          <w:szCs w:val="22"/>
        </w:rPr>
        <w:t xml:space="preserve">твердая договорная цена на Работы по ремонту железобетонных опор ВЛ-35 кВ "Заводская-1", "Заводская-5", "Мазутная», ВЛ-110 кВ "Топливная" вне графика простоев цех №17, </w:t>
      </w:r>
      <w:r w:rsidR="002D4697" w:rsidRPr="002D4697">
        <w:rPr>
          <w:b/>
          <w:szCs w:val="22"/>
        </w:rPr>
        <w:t>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r w:rsidRPr="002D4697">
        <w:rPr>
          <w:b/>
          <w:szCs w:val="22"/>
        </w:rPr>
        <w:t>.</w:t>
      </w:r>
    </w:p>
    <w:p w:rsidR="00C1210D" w:rsidRPr="00C1210D" w:rsidRDefault="00C1210D" w:rsidP="00C1210D">
      <w:pPr>
        <w:autoSpaceDE w:val="0"/>
        <w:spacing w:after="120"/>
        <w:jc w:val="both"/>
        <w:rPr>
          <w:b/>
          <w:szCs w:val="22"/>
        </w:rPr>
      </w:pPr>
      <w:r w:rsidRPr="00C1210D">
        <w:rPr>
          <w:b/>
          <w:szCs w:val="22"/>
        </w:rPr>
        <w:t>Локальн</w:t>
      </w:r>
      <w:r w:rsidR="002D4697">
        <w:rPr>
          <w:b/>
          <w:szCs w:val="22"/>
        </w:rPr>
        <w:t>ая</w:t>
      </w:r>
      <w:r w:rsidRPr="00C1210D">
        <w:rPr>
          <w:b/>
          <w:szCs w:val="22"/>
        </w:rPr>
        <w:t xml:space="preserve"> </w:t>
      </w:r>
      <w:r w:rsidRPr="002D4697">
        <w:rPr>
          <w:b/>
          <w:szCs w:val="22"/>
        </w:rPr>
        <w:t>смет</w:t>
      </w:r>
      <w:r w:rsidR="002D4697" w:rsidRPr="002D4697">
        <w:rPr>
          <w:b/>
          <w:szCs w:val="22"/>
        </w:rPr>
        <w:t>а</w:t>
      </w:r>
      <w:r w:rsidRPr="002D4697">
        <w:rPr>
          <w:b/>
          <w:szCs w:val="22"/>
        </w:rPr>
        <w:t xml:space="preserve"> №</w:t>
      </w:r>
      <w:r w:rsidR="002D4697" w:rsidRPr="002D4697">
        <w:rPr>
          <w:b/>
          <w:szCs w:val="22"/>
        </w:rPr>
        <w:t>01:00096</w:t>
      </w:r>
      <w:r w:rsidR="002D4697">
        <w:rPr>
          <w:b/>
          <w:szCs w:val="22"/>
        </w:rPr>
        <w:t xml:space="preserve"> </w:t>
      </w:r>
      <w:r w:rsidRPr="00C1210D">
        <w:rPr>
          <w:b/>
          <w:szCs w:val="22"/>
        </w:rPr>
        <w:t>представленн</w:t>
      </w:r>
      <w:r w:rsidR="002D4697">
        <w:rPr>
          <w:b/>
          <w:szCs w:val="22"/>
        </w:rPr>
        <w:t>ая</w:t>
      </w:r>
      <w:r w:rsidRPr="00C1210D">
        <w:rPr>
          <w:b/>
          <w:szCs w:val="22"/>
        </w:rPr>
        <w:t xml:space="preserve"> в составе проектно-технической документации изменениям со стороны контрагентов не подлеж</w:t>
      </w:r>
      <w:r w:rsidR="002D4697">
        <w:rPr>
          <w:b/>
          <w:szCs w:val="22"/>
        </w:rPr>
        <w:t>и</w:t>
      </w:r>
      <w:r w:rsidRPr="00C1210D">
        <w:rPr>
          <w:b/>
          <w:szCs w:val="22"/>
        </w:rPr>
        <w:t>т.</w:t>
      </w:r>
    </w:p>
    <w:p w:rsidR="007845F1" w:rsidRPr="007845F1" w:rsidRDefault="007845F1" w:rsidP="007845F1">
      <w:pPr>
        <w:jc w:val="both"/>
        <w:rPr>
          <w:szCs w:val="22"/>
        </w:rPr>
      </w:pPr>
      <w:r w:rsidRPr="007845F1">
        <w:rPr>
          <w:b/>
          <w:szCs w:val="22"/>
          <w:u w:val="single"/>
        </w:rPr>
        <w:t>Проектно-техническая документация</w:t>
      </w:r>
      <w:r w:rsidRPr="007845F1">
        <w:rPr>
          <w:szCs w:val="22"/>
        </w:rPr>
        <w:t xml:space="preserve">: </w:t>
      </w:r>
      <w:r w:rsidR="002D4697">
        <w:rPr>
          <w:szCs w:val="22"/>
        </w:rPr>
        <w:t>утвержденная дефектная ведомость на р</w:t>
      </w:r>
      <w:r w:rsidR="002D4697" w:rsidRPr="003B33CC">
        <w:rPr>
          <w:szCs w:val="22"/>
        </w:rPr>
        <w:t>аботы по ремонту железобетонных опор ВЛ-35 кВ "Заводская-1", "Заводская-5", "Мазутная», ВЛ-110 кВ "Топливная" вне графика простоев цех №17</w:t>
      </w:r>
      <w:r w:rsidR="002D4697">
        <w:rPr>
          <w:szCs w:val="22"/>
        </w:rPr>
        <w:t>, локальная смета №01:00096</w:t>
      </w:r>
      <w:r w:rsidR="002D4697">
        <w:rPr>
          <w:b/>
          <w:szCs w:val="22"/>
        </w:rPr>
        <w:t xml:space="preserve"> </w:t>
      </w:r>
      <w:r w:rsidR="002D4697">
        <w:rPr>
          <w:szCs w:val="22"/>
        </w:rPr>
        <w:t>на р</w:t>
      </w:r>
      <w:r w:rsidR="002D4697" w:rsidRPr="003B33CC">
        <w:rPr>
          <w:szCs w:val="22"/>
        </w:rPr>
        <w:t>аботы по ремонту железобетонных опор ВЛ-35 кВ "Заводская-1", "Заводская-5", "Мазутная», ВЛ-110 кВ "Топливная" вне графика простоев цех №17</w:t>
      </w:r>
      <w:r w:rsidR="002D4697">
        <w:rPr>
          <w:szCs w:val="22"/>
        </w:rPr>
        <w:t xml:space="preserve"> </w:t>
      </w:r>
      <w:r w:rsidR="002D4697" w:rsidRPr="00F815C6">
        <w:rPr>
          <w:color w:val="000000"/>
          <w:szCs w:val="22"/>
        </w:rPr>
        <w:t xml:space="preserve">передаются Контрагентам в электронном </w:t>
      </w:r>
      <w:r w:rsidR="002D4697" w:rsidRPr="00F815C6">
        <w:rPr>
          <w:szCs w:val="22"/>
        </w:rPr>
        <w:t xml:space="preserve">виде, посредством </w:t>
      </w:r>
      <w:r w:rsidR="002D4697" w:rsidRPr="00F815C6">
        <w:rPr>
          <w:szCs w:val="22"/>
          <w:lang w:val="en-US"/>
        </w:rPr>
        <w:t>USB</w:t>
      </w:r>
      <w:r w:rsidR="002D4697" w:rsidRPr="00F815C6">
        <w:rPr>
          <w:szCs w:val="22"/>
        </w:rPr>
        <w:t xml:space="preserve"> флеш - накопителя / электронной почты</w:t>
      </w:r>
      <w:r w:rsidRPr="007845F1">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56DFE" w:rsidRDefault="00654ECD" w:rsidP="00C56DFE">
      <w:pPr>
        <w:autoSpaceDE w:val="0"/>
        <w:spacing w:after="120"/>
        <w:jc w:val="both"/>
        <w:rPr>
          <w:iCs/>
          <w:szCs w:val="22"/>
        </w:rPr>
      </w:pPr>
      <w:r w:rsidRPr="00C56DFE">
        <w:rPr>
          <w:iCs/>
          <w:szCs w:val="22"/>
        </w:rPr>
        <w:t xml:space="preserve">Работы должны быть выполнены с надлежащим качеством, в соответствии </w:t>
      </w:r>
      <w:r w:rsidR="009861BE" w:rsidRPr="00C56DFE">
        <w:rPr>
          <w:iCs/>
          <w:szCs w:val="22"/>
        </w:rPr>
        <w:t xml:space="preserve">с утвержденными </w:t>
      </w:r>
      <w:r w:rsidR="00C56DFE" w:rsidRPr="00C56DFE">
        <w:rPr>
          <w:iCs/>
          <w:szCs w:val="22"/>
        </w:rPr>
        <w:t>дефектной ведомостью</w:t>
      </w:r>
      <w:r w:rsidR="009861BE" w:rsidRPr="00C56DFE">
        <w:rPr>
          <w:iCs/>
          <w:szCs w:val="22"/>
        </w:rPr>
        <w:t xml:space="preserve"> и сметными расчетами</w:t>
      </w:r>
      <w:r w:rsidRPr="00C56DFE">
        <w:rPr>
          <w:iCs/>
          <w:szCs w:val="22"/>
        </w:rPr>
        <w:t xml:space="preserve">, в указанные сроки и отвечать требованиям соответствующих стандартов, норм и технических условий, в.т.ч. </w:t>
      </w:r>
      <w:r w:rsidR="00C56DFE" w:rsidRPr="00C56DFE">
        <w:rPr>
          <w:iCs/>
          <w:szCs w:val="22"/>
        </w:rPr>
        <w:t xml:space="preserve">СП 70.13330.2012, СП 45.13330.2012, СП 126.13330.2012, СНиП 12-03, СНиП 12-04, 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 Правила по охране труда при работе на высоте, утвержденные Приказом Минтруда России от 28.03.2014 г. Правила по охране труда в строительстве, утв. приказом от 01.06.2015 г. </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671"/>
        <w:gridCol w:w="3118"/>
        <w:gridCol w:w="1418"/>
        <w:gridCol w:w="1701"/>
      </w:tblGrid>
      <w:tr w:rsidR="00C56DFE" w:rsidTr="00C713F7">
        <w:trPr>
          <w:trHeight w:val="915"/>
          <w:tblHeader/>
        </w:trPr>
        <w:tc>
          <w:tcPr>
            <w:tcW w:w="724" w:type="dxa"/>
            <w:shd w:val="clear" w:color="auto" w:fill="D9D9D9"/>
            <w:vAlign w:val="center"/>
            <w:hideMark/>
          </w:tcPr>
          <w:p w:rsidR="00C56DFE" w:rsidRPr="00C56DFE" w:rsidRDefault="00C56DFE" w:rsidP="00C56DFE">
            <w:pPr>
              <w:rPr>
                <w:rFonts w:cs="Arial"/>
                <w:b/>
                <w:bCs/>
                <w:sz w:val="20"/>
                <w:szCs w:val="20"/>
              </w:rPr>
            </w:pPr>
            <w:r w:rsidRPr="00C56DFE">
              <w:rPr>
                <w:rFonts w:cs="Arial"/>
                <w:b/>
                <w:bCs/>
                <w:sz w:val="20"/>
                <w:szCs w:val="20"/>
              </w:rPr>
              <w:t>№ п/п</w:t>
            </w:r>
          </w:p>
        </w:tc>
        <w:tc>
          <w:tcPr>
            <w:tcW w:w="3671" w:type="dxa"/>
            <w:shd w:val="clear" w:color="auto" w:fill="D9D9D9"/>
            <w:vAlign w:val="center"/>
            <w:hideMark/>
          </w:tcPr>
          <w:p w:rsidR="00C56DFE" w:rsidRPr="00C56DFE" w:rsidRDefault="00C56DFE" w:rsidP="00C56DFE">
            <w:pPr>
              <w:rPr>
                <w:rFonts w:cs="Arial"/>
                <w:b/>
                <w:bCs/>
                <w:sz w:val="20"/>
                <w:szCs w:val="20"/>
              </w:rPr>
            </w:pPr>
            <w:r w:rsidRPr="00C56DFE">
              <w:rPr>
                <w:rFonts w:cs="Arial"/>
                <w:b/>
                <w:bCs/>
                <w:sz w:val="20"/>
                <w:szCs w:val="20"/>
              </w:rPr>
              <w:t xml:space="preserve">Требование </w:t>
            </w:r>
            <w:r w:rsidRPr="00C56DFE">
              <w:rPr>
                <w:rFonts w:cs="Arial"/>
                <w:b/>
                <w:bCs/>
                <w:sz w:val="20"/>
                <w:szCs w:val="20"/>
              </w:rPr>
              <w:br/>
              <w:t>(параметр оценки)</w:t>
            </w:r>
          </w:p>
        </w:tc>
        <w:tc>
          <w:tcPr>
            <w:tcW w:w="3118" w:type="dxa"/>
            <w:shd w:val="clear" w:color="auto" w:fill="D9D9D9"/>
            <w:vAlign w:val="center"/>
            <w:hideMark/>
          </w:tcPr>
          <w:p w:rsidR="00C56DFE" w:rsidRPr="00C56DFE" w:rsidRDefault="00C56DFE" w:rsidP="00C56DFE">
            <w:pPr>
              <w:rPr>
                <w:rFonts w:cs="Arial"/>
                <w:b/>
                <w:bCs/>
                <w:sz w:val="20"/>
                <w:szCs w:val="20"/>
              </w:rPr>
            </w:pPr>
            <w:r w:rsidRPr="00C56DFE">
              <w:rPr>
                <w:rFonts w:cs="Arial"/>
                <w:b/>
                <w:bCs/>
                <w:sz w:val="20"/>
                <w:szCs w:val="20"/>
              </w:rPr>
              <w:t>Документы, подтверждающие соответствия требованию</w:t>
            </w:r>
          </w:p>
        </w:tc>
        <w:tc>
          <w:tcPr>
            <w:tcW w:w="1418" w:type="dxa"/>
            <w:shd w:val="clear" w:color="auto" w:fill="D9D9D9"/>
            <w:vAlign w:val="center"/>
            <w:hideMark/>
          </w:tcPr>
          <w:p w:rsidR="00C56DFE" w:rsidRPr="00C56DFE" w:rsidRDefault="00C56DFE" w:rsidP="00C56DFE">
            <w:pPr>
              <w:rPr>
                <w:rFonts w:cs="Arial"/>
                <w:b/>
                <w:bCs/>
                <w:sz w:val="20"/>
                <w:szCs w:val="20"/>
              </w:rPr>
            </w:pPr>
            <w:r w:rsidRPr="00C56DFE">
              <w:rPr>
                <w:rFonts w:cs="Arial"/>
                <w:b/>
                <w:bCs/>
                <w:sz w:val="20"/>
                <w:szCs w:val="20"/>
              </w:rPr>
              <w:t>Единица измерения</w:t>
            </w:r>
          </w:p>
        </w:tc>
        <w:tc>
          <w:tcPr>
            <w:tcW w:w="1701" w:type="dxa"/>
            <w:shd w:val="clear" w:color="auto" w:fill="D9D9D9"/>
            <w:vAlign w:val="center"/>
            <w:hideMark/>
          </w:tcPr>
          <w:p w:rsidR="00C56DFE" w:rsidRPr="00C56DFE" w:rsidRDefault="00C56DFE" w:rsidP="00C56DFE">
            <w:pPr>
              <w:rPr>
                <w:rFonts w:cs="Arial"/>
                <w:b/>
                <w:bCs/>
                <w:sz w:val="20"/>
                <w:szCs w:val="20"/>
                <w:u w:val="single"/>
              </w:rPr>
            </w:pPr>
            <w:r w:rsidRPr="00C56DFE">
              <w:rPr>
                <w:rFonts w:cs="Arial"/>
                <w:b/>
                <w:bCs/>
                <w:sz w:val="20"/>
                <w:szCs w:val="20"/>
              </w:rPr>
              <w:t>Условия соответствия</w:t>
            </w:r>
          </w:p>
        </w:tc>
      </w:tr>
      <w:tr w:rsidR="00C56DFE" w:rsidTr="00C713F7">
        <w:trPr>
          <w:trHeight w:val="163"/>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1</w:t>
            </w:r>
          </w:p>
        </w:tc>
        <w:tc>
          <w:tcPr>
            <w:tcW w:w="3671" w:type="dxa"/>
            <w:shd w:val="clear" w:color="auto" w:fill="auto"/>
            <w:vAlign w:val="center"/>
          </w:tcPr>
          <w:p w:rsidR="00C56DFE" w:rsidRPr="00C56DFE" w:rsidRDefault="00C56DFE" w:rsidP="00C56DFE">
            <w:pPr>
              <w:autoSpaceDE w:val="0"/>
              <w:jc w:val="both"/>
              <w:rPr>
                <w:rFonts w:cs="Arial"/>
                <w:color w:val="FF0000"/>
                <w:sz w:val="20"/>
                <w:szCs w:val="20"/>
                <w:highlight w:val="yellow"/>
              </w:rPr>
            </w:pPr>
            <w:r w:rsidRPr="00C56DFE">
              <w:rPr>
                <w:rFonts w:cs="Arial"/>
                <w:sz w:val="20"/>
                <w:szCs w:val="20"/>
              </w:rPr>
              <w:t>Среднегодовой объем аналогичных выполненных работ за последние 3 года.</w:t>
            </w:r>
          </w:p>
        </w:tc>
        <w:tc>
          <w:tcPr>
            <w:tcW w:w="3118" w:type="dxa"/>
            <w:shd w:val="clear" w:color="auto" w:fill="auto"/>
            <w:vAlign w:val="center"/>
          </w:tcPr>
          <w:p w:rsidR="00C56DFE" w:rsidRPr="00C713F7" w:rsidRDefault="00C56DFE" w:rsidP="00C56DFE">
            <w:pPr>
              <w:autoSpaceDE w:val="0"/>
              <w:ind w:left="34"/>
              <w:jc w:val="both"/>
              <w:rPr>
                <w:rFonts w:cs="Arial"/>
                <w:sz w:val="20"/>
                <w:szCs w:val="20"/>
                <w:shd w:val="clear" w:color="auto" w:fill="FFFF00"/>
              </w:rPr>
            </w:pPr>
            <w:r w:rsidRPr="00C713F7">
              <w:rPr>
                <w:rFonts w:cs="Arial"/>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p>
        </w:tc>
        <w:tc>
          <w:tcPr>
            <w:tcW w:w="1418" w:type="dxa"/>
            <w:shd w:val="clear" w:color="000000" w:fill="FFFFFF"/>
            <w:vAlign w:val="center"/>
          </w:tcPr>
          <w:p w:rsidR="00C56DFE" w:rsidRPr="00C56DFE" w:rsidRDefault="00C56DFE" w:rsidP="00C56DFE">
            <w:pPr>
              <w:autoSpaceDE w:val="0"/>
              <w:ind w:left="34"/>
              <w:rPr>
                <w:rFonts w:cs="Arial"/>
                <w:sz w:val="20"/>
                <w:szCs w:val="20"/>
              </w:rPr>
            </w:pPr>
            <w:r w:rsidRPr="00C56DFE">
              <w:rPr>
                <w:rFonts w:cs="Arial"/>
                <w:sz w:val="20"/>
                <w:szCs w:val="20"/>
              </w:rPr>
              <w:t>руб., без НДС</w:t>
            </w:r>
          </w:p>
        </w:tc>
        <w:tc>
          <w:tcPr>
            <w:tcW w:w="1701" w:type="dxa"/>
            <w:shd w:val="clear" w:color="auto" w:fill="auto"/>
            <w:vAlign w:val="center"/>
          </w:tcPr>
          <w:p w:rsidR="00C56DFE" w:rsidRPr="00C56DFE" w:rsidRDefault="00C56DFE" w:rsidP="00C56DFE">
            <w:pPr>
              <w:rPr>
                <w:rFonts w:cs="Arial"/>
                <w:sz w:val="20"/>
                <w:szCs w:val="20"/>
                <w:highlight w:val="magenta"/>
              </w:rPr>
            </w:pPr>
            <w:r w:rsidRPr="00C56DFE">
              <w:rPr>
                <w:rFonts w:cs="Arial"/>
                <w:sz w:val="20"/>
                <w:szCs w:val="20"/>
              </w:rPr>
              <w:t>5 млн. руб. и более</w:t>
            </w:r>
          </w:p>
        </w:tc>
      </w:tr>
      <w:tr w:rsidR="00C56DFE" w:rsidTr="00C713F7">
        <w:trPr>
          <w:trHeight w:val="163"/>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2</w:t>
            </w:r>
          </w:p>
        </w:tc>
        <w:tc>
          <w:tcPr>
            <w:tcW w:w="3671" w:type="dxa"/>
            <w:shd w:val="clear" w:color="auto" w:fill="auto"/>
            <w:vAlign w:val="center"/>
          </w:tcPr>
          <w:p w:rsidR="00C56DFE" w:rsidRPr="00C56DFE" w:rsidRDefault="00C56DFE" w:rsidP="00C56DFE">
            <w:pPr>
              <w:autoSpaceDE w:val="0"/>
              <w:ind w:left="34"/>
              <w:jc w:val="both"/>
              <w:rPr>
                <w:rFonts w:cs="Arial"/>
                <w:sz w:val="20"/>
                <w:szCs w:val="20"/>
              </w:rPr>
            </w:pPr>
            <w:r w:rsidRPr="00C56DFE">
              <w:rPr>
                <w:rFonts w:cs="Arial"/>
                <w:sz w:val="20"/>
                <w:szCs w:val="20"/>
              </w:rPr>
              <w:t>Членство в региональной СРО в строительстве.</w:t>
            </w:r>
          </w:p>
        </w:tc>
        <w:tc>
          <w:tcPr>
            <w:tcW w:w="3118" w:type="dxa"/>
            <w:tcBorders>
              <w:bottom w:val="single" w:sz="4" w:space="0" w:color="auto"/>
            </w:tcBorders>
            <w:shd w:val="clear" w:color="auto" w:fill="auto"/>
            <w:vAlign w:val="center"/>
          </w:tcPr>
          <w:p w:rsidR="00C56DFE" w:rsidRPr="00C713F7" w:rsidRDefault="00C56DFE" w:rsidP="00C56DFE">
            <w:pPr>
              <w:tabs>
                <w:tab w:val="left" w:pos="644"/>
              </w:tabs>
              <w:autoSpaceDE w:val="0"/>
              <w:ind w:left="34"/>
              <w:jc w:val="both"/>
              <w:rPr>
                <w:rFonts w:cs="Arial"/>
                <w:sz w:val="20"/>
                <w:szCs w:val="20"/>
              </w:rPr>
            </w:pPr>
            <w:r w:rsidRPr="00C713F7">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418" w:type="dxa"/>
            <w:shd w:val="clear" w:color="000000" w:fill="FFFFFF"/>
            <w:vAlign w:val="center"/>
          </w:tcPr>
          <w:p w:rsidR="00C56DFE" w:rsidRPr="00C56DFE" w:rsidRDefault="00C56DFE" w:rsidP="00C56DFE">
            <w:pPr>
              <w:rPr>
                <w:rFonts w:cs="Arial"/>
                <w:sz w:val="20"/>
                <w:szCs w:val="20"/>
              </w:rPr>
            </w:pPr>
            <w:r>
              <w:rPr>
                <w:rFonts w:cs="Arial"/>
                <w:sz w:val="20"/>
                <w:szCs w:val="20"/>
              </w:rPr>
              <w:t>н</w:t>
            </w:r>
            <w:r w:rsidRPr="00C56DFE">
              <w:rPr>
                <w:rFonts w:cs="Arial"/>
                <w:sz w:val="20"/>
                <w:szCs w:val="20"/>
              </w:rPr>
              <w:t>аличие/ отсутствие</w:t>
            </w:r>
          </w:p>
        </w:tc>
        <w:tc>
          <w:tcPr>
            <w:tcW w:w="1701" w:type="dxa"/>
            <w:shd w:val="clear" w:color="auto" w:fill="auto"/>
            <w:vAlign w:val="center"/>
          </w:tcPr>
          <w:p w:rsidR="00C56DFE" w:rsidRPr="00C56DFE" w:rsidRDefault="00C56DFE" w:rsidP="00C56DFE">
            <w:pPr>
              <w:rPr>
                <w:rFonts w:cs="Arial"/>
                <w:sz w:val="20"/>
                <w:szCs w:val="20"/>
              </w:rPr>
            </w:pPr>
            <w:r w:rsidRPr="00C56DFE">
              <w:rPr>
                <w:rFonts w:cs="Arial"/>
                <w:sz w:val="20"/>
                <w:szCs w:val="20"/>
              </w:rPr>
              <w:t>наличие</w:t>
            </w:r>
          </w:p>
        </w:tc>
      </w:tr>
      <w:tr w:rsidR="00C56DFE" w:rsidRPr="0005456B" w:rsidTr="00C713F7">
        <w:trPr>
          <w:trHeight w:val="19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3</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xml:space="preserve">Наличие аттестованных кадровых ресурсов для выполнения работ по предмету закупки, не задействованных на период выполнения вышеуказанных работ на других объектах:                                                            </w:t>
            </w:r>
          </w:p>
        </w:tc>
        <w:tc>
          <w:tcPr>
            <w:tcW w:w="3118" w:type="dxa"/>
            <w:vMerge w:val="restart"/>
            <w:shd w:val="clear" w:color="auto" w:fill="auto"/>
          </w:tcPr>
          <w:p w:rsidR="00C56DFE" w:rsidRPr="00C713F7" w:rsidRDefault="00C56DFE" w:rsidP="00C56DFE">
            <w:pPr>
              <w:rPr>
                <w:rFonts w:cs="Arial"/>
                <w:color w:val="000000"/>
                <w:sz w:val="20"/>
                <w:szCs w:val="20"/>
              </w:rPr>
            </w:pPr>
            <w:r w:rsidRPr="00C713F7">
              <w:rPr>
                <w:rFonts w:cs="Arial"/>
                <w:color w:val="000000"/>
                <w:sz w:val="20"/>
                <w:szCs w:val="20"/>
              </w:rPr>
              <w:t xml:space="preserve">Справка (Форма 8) о наличии кадровых ресурсов  с приложением копий документов об аттестации в области </w:t>
            </w:r>
            <w:r w:rsidRPr="00C713F7">
              <w:rPr>
                <w:rFonts w:cs="Arial"/>
                <w:sz w:val="20"/>
                <w:szCs w:val="20"/>
              </w:rPr>
              <w:t xml:space="preserve">промышленной безопасности, копий </w:t>
            </w:r>
            <w:r w:rsidRPr="00C713F7">
              <w:rPr>
                <w:rFonts w:cs="Arial"/>
                <w:color w:val="000000"/>
                <w:sz w:val="20"/>
                <w:szCs w:val="20"/>
              </w:rPr>
              <w:t>удостоверений по электробезопасности и по безопасности производства работ на высоте и аналогичная справка в случае привлечения субподрядчика (на объем субподрядных работ не более 20 %).</w:t>
            </w:r>
          </w:p>
        </w:tc>
        <w:tc>
          <w:tcPr>
            <w:tcW w:w="1418" w:type="dxa"/>
            <w:shd w:val="clear" w:color="000000" w:fill="FFFFFF"/>
            <w:vAlign w:val="center"/>
          </w:tcPr>
          <w:p w:rsidR="00C56DFE" w:rsidRPr="00C56DFE" w:rsidRDefault="00C56DFE" w:rsidP="00C56DFE">
            <w:pPr>
              <w:rPr>
                <w:rFonts w:cs="Arial"/>
                <w:color w:val="000000"/>
                <w:sz w:val="20"/>
                <w:szCs w:val="20"/>
              </w:rPr>
            </w:pPr>
          </w:p>
        </w:tc>
        <w:tc>
          <w:tcPr>
            <w:tcW w:w="1701" w:type="dxa"/>
            <w:shd w:val="clear" w:color="000000" w:fill="FFFFFF"/>
          </w:tcPr>
          <w:p w:rsidR="00C56DFE" w:rsidRPr="00C56DFE" w:rsidRDefault="00C56DFE" w:rsidP="00C56DFE">
            <w:pPr>
              <w:rPr>
                <w:rFonts w:cs="Arial"/>
                <w:sz w:val="20"/>
                <w:szCs w:val="20"/>
              </w:rPr>
            </w:pPr>
          </w:p>
        </w:tc>
      </w:tr>
      <w:tr w:rsidR="00C56DFE" w:rsidRPr="0005456B" w:rsidTr="00C713F7">
        <w:trPr>
          <w:trHeight w:val="19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3.1</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ИТР, допущенные для проведения работ в электроустановках</w:t>
            </w:r>
            <w:r w:rsidRPr="00C56DFE">
              <w:rPr>
                <w:rFonts w:cs="Arial"/>
                <w:color w:val="000000"/>
                <w:sz w:val="20"/>
                <w:szCs w:val="20"/>
              </w:rPr>
              <w:t xml:space="preserve"> с группой </w:t>
            </w:r>
            <w:r w:rsidRPr="00C56DFE">
              <w:rPr>
                <w:rFonts w:cs="Arial"/>
                <w:color w:val="000000"/>
                <w:sz w:val="20"/>
                <w:szCs w:val="20"/>
                <w:lang w:val="en-US"/>
              </w:rPr>
              <w:t>V</w:t>
            </w:r>
            <w:r w:rsidRPr="00C56DFE">
              <w:rPr>
                <w:rFonts w:cs="Arial"/>
                <w:color w:val="000000"/>
                <w:sz w:val="20"/>
                <w:szCs w:val="20"/>
              </w:rPr>
              <w:t xml:space="preserve"> по ЭБ</w:t>
            </w:r>
            <w:r w:rsidRPr="00C56DFE">
              <w:rPr>
                <w:rFonts w:cs="Arial"/>
                <w:sz w:val="20"/>
                <w:szCs w:val="20"/>
              </w:rPr>
              <w:t xml:space="preserve"> до и выше 1000 В с правами ответственного руководителя работ,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C56DFE">
              <w:rPr>
                <w:rFonts w:cs="Arial"/>
                <w:sz w:val="20"/>
                <w:szCs w:val="20"/>
                <w:vertAlign w:val="subscript"/>
              </w:rPr>
              <w:t>1</w:t>
            </w:r>
            <w:r w:rsidRPr="00C56DFE">
              <w:rPr>
                <w:rFonts w:cs="Arial"/>
                <w:sz w:val="20"/>
                <w:szCs w:val="20"/>
              </w:rPr>
              <w:t xml:space="preserve">, Б </w:t>
            </w:r>
            <w:r w:rsidRPr="00C56DFE">
              <w:rPr>
                <w:rFonts w:cs="Arial"/>
                <w:sz w:val="20"/>
                <w:szCs w:val="20"/>
                <w:vertAlign w:val="subscript"/>
              </w:rPr>
              <w:t>1.17</w:t>
            </w:r>
            <w:r w:rsidRPr="00C56DFE">
              <w:rPr>
                <w:rFonts w:cs="Arial"/>
                <w:sz w:val="20"/>
                <w:szCs w:val="20"/>
              </w:rPr>
              <w:t>, с группой 3 по безопасности выполнения работ на высоте,</w:t>
            </w:r>
          </w:p>
        </w:tc>
        <w:tc>
          <w:tcPr>
            <w:tcW w:w="3118" w:type="dxa"/>
            <w:vMerge/>
            <w:shd w:val="clear" w:color="auto" w:fill="auto"/>
            <w:vAlign w:val="center"/>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чел.</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1</w:t>
            </w:r>
          </w:p>
        </w:tc>
      </w:tr>
      <w:tr w:rsidR="00C56DFE" w:rsidRPr="0005456B" w:rsidTr="00C713F7">
        <w:trPr>
          <w:trHeight w:val="19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3.2</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электромонтеров (электромонтаж-ников), допущенных для проведения работ в электроустановках</w:t>
            </w:r>
            <w:r w:rsidRPr="00C56DFE">
              <w:rPr>
                <w:rFonts w:cs="Arial"/>
                <w:color w:val="000000"/>
                <w:sz w:val="20"/>
                <w:szCs w:val="20"/>
              </w:rPr>
              <w:t xml:space="preserve"> с группой </w:t>
            </w:r>
            <w:r w:rsidRPr="00C56DFE">
              <w:rPr>
                <w:rFonts w:cs="Arial"/>
                <w:color w:val="000000"/>
                <w:sz w:val="20"/>
                <w:szCs w:val="20"/>
                <w:lang w:val="en-US"/>
              </w:rPr>
              <w:t>IV</w:t>
            </w:r>
            <w:r w:rsidRPr="00C56DFE">
              <w:rPr>
                <w:rFonts w:cs="Arial"/>
                <w:color w:val="000000"/>
                <w:sz w:val="20"/>
                <w:szCs w:val="20"/>
              </w:rPr>
              <w:t xml:space="preserve"> по ЭБ</w:t>
            </w:r>
            <w:r w:rsidRPr="00C56DFE">
              <w:rPr>
                <w:rFonts w:cs="Arial"/>
                <w:sz w:val="20"/>
                <w:szCs w:val="20"/>
              </w:rPr>
              <w:t xml:space="preserve"> до и выше 1000 В с правами производителя работ, с группой 2 по безопасности выполнения работ на высоте,</w:t>
            </w:r>
          </w:p>
        </w:tc>
        <w:tc>
          <w:tcPr>
            <w:tcW w:w="3118" w:type="dxa"/>
            <w:vMerge/>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чел.</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2</w:t>
            </w:r>
          </w:p>
        </w:tc>
      </w:tr>
      <w:tr w:rsidR="00C56DFE" w:rsidRPr="0005456B" w:rsidTr="00C713F7">
        <w:trPr>
          <w:trHeight w:val="19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3.3</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xml:space="preserve">- электромонтеров (электромонтаж-ников), допущенных для проведения работ в электроустановках </w:t>
            </w:r>
            <w:r w:rsidRPr="00C56DFE">
              <w:rPr>
                <w:rFonts w:cs="Arial"/>
                <w:color w:val="000000"/>
                <w:sz w:val="20"/>
                <w:szCs w:val="20"/>
              </w:rPr>
              <w:t xml:space="preserve">с группой </w:t>
            </w:r>
            <w:r w:rsidRPr="00C56DFE">
              <w:rPr>
                <w:rFonts w:cs="Arial"/>
                <w:color w:val="000000"/>
                <w:sz w:val="20"/>
                <w:szCs w:val="20"/>
                <w:lang w:val="en-US"/>
              </w:rPr>
              <w:t>III</w:t>
            </w:r>
            <w:r w:rsidRPr="00C56DFE">
              <w:rPr>
                <w:rFonts w:cs="Arial"/>
                <w:color w:val="000000"/>
                <w:sz w:val="20"/>
                <w:szCs w:val="20"/>
              </w:rPr>
              <w:t xml:space="preserve"> по ЭБ </w:t>
            </w:r>
            <w:r w:rsidRPr="00C56DFE">
              <w:rPr>
                <w:rFonts w:cs="Arial"/>
                <w:sz w:val="20"/>
                <w:szCs w:val="20"/>
              </w:rPr>
              <w:t>до и выше 1000 В с правами члена бригады, с группой 1 по безопасности выполнения работ на высоте,</w:t>
            </w:r>
          </w:p>
        </w:tc>
        <w:tc>
          <w:tcPr>
            <w:tcW w:w="3118" w:type="dxa"/>
            <w:vMerge/>
            <w:tcBorders>
              <w:bottom w:val="single" w:sz="4" w:space="0" w:color="auto"/>
            </w:tcBorders>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чел.</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4</w:t>
            </w:r>
          </w:p>
        </w:tc>
      </w:tr>
      <w:tr w:rsidR="00C56DFE" w:rsidRPr="0005456B" w:rsidTr="00C713F7">
        <w:trPr>
          <w:trHeight w:val="19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3.4</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машиниста грузоподъемной техники, допущенный для проведения работ в электроустановках</w:t>
            </w:r>
            <w:r w:rsidRPr="00C56DFE">
              <w:rPr>
                <w:rFonts w:cs="Arial"/>
                <w:color w:val="000000"/>
                <w:sz w:val="20"/>
                <w:szCs w:val="20"/>
              </w:rPr>
              <w:t xml:space="preserve"> с группой </w:t>
            </w:r>
            <w:r w:rsidRPr="00C56DFE">
              <w:rPr>
                <w:rFonts w:cs="Arial"/>
                <w:color w:val="000000"/>
                <w:sz w:val="20"/>
                <w:szCs w:val="20"/>
                <w:lang w:val="en-US"/>
              </w:rPr>
              <w:t>II</w:t>
            </w:r>
            <w:r w:rsidRPr="00C56DFE">
              <w:rPr>
                <w:rFonts w:cs="Arial"/>
                <w:color w:val="000000"/>
                <w:sz w:val="20"/>
                <w:szCs w:val="20"/>
              </w:rPr>
              <w:t xml:space="preserve"> по ЭБ</w:t>
            </w:r>
            <w:r w:rsidRPr="00C56DFE">
              <w:rPr>
                <w:rFonts w:cs="Arial"/>
                <w:sz w:val="20"/>
                <w:szCs w:val="20"/>
              </w:rPr>
              <w:t xml:space="preserve"> до и выше 1000 В с правами члена бригады,</w:t>
            </w:r>
          </w:p>
        </w:tc>
        <w:tc>
          <w:tcPr>
            <w:tcW w:w="3118" w:type="dxa"/>
            <w:vMerge w:val="restart"/>
            <w:tcBorders>
              <w:top w:val="nil"/>
            </w:tcBorders>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чел.</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1</w:t>
            </w:r>
          </w:p>
        </w:tc>
      </w:tr>
      <w:tr w:rsidR="00C56DFE" w:rsidRPr="0005456B" w:rsidTr="00C713F7">
        <w:trPr>
          <w:trHeight w:val="19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3.5</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машиниста автогидроподъемника, допущенный для проведения работ в электроустановках</w:t>
            </w:r>
            <w:r w:rsidRPr="00C56DFE">
              <w:rPr>
                <w:rFonts w:cs="Arial"/>
                <w:color w:val="000000"/>
                <w:sz w:val="20"/>
                <w:szCs w:val="20"/>
              </w:rPr>
              <w:t xml:space="preserve"> с группой </w:t>
            </w:r>
            <w:r w:rsidRPr="00C56DFE">
              <w:rPr>
                <w:rFonts w:cs="Arial"/>
                <w:color w:val="000000"/>
                <w:sz w:val="20"/>
                <w:szCs w:val="20"/>
                <w:lang w:val="en-US"/>
              </w:rPr>
              <w:t>II</w:t>
            </w:r>
            <w:r w:rsidRPr="00C56DFE">
              <w:rPr>
                <w:rFonts w:cs="Arial"/>
                <w:color w:val="000000"/>
                <w:sz w:val="20"/>
                <w:szCs w:val="20"/>
              </w:rPr>
              <w:t xml:space="preserve"> по ЭБ</w:t>
            </w:r>
            <w:r w:rsidRPr="00C56DFE">
              <w:rPr>
                <w:rFonts w:cs="Arial"/>
                <w:sz w:val="20"/>
                <w:szCs w:val="20"/>
              </w:rPr>
              <w:t xml:space="preserve"> до и выше 1000 В с правами члена бригады,</w:t>
            </w:r>
          </w:p>
        </w:tc>
        <w:tc>
          <w:tcPr>
            <w:tcW w:w="3118" w:type="dxa"/>
            <w:vMerge/>
            <w:tcBorders>
              <w:top w:val="nil"/>
            </w:tcBorders>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чел.</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1</w:t>
            </w:r>
          </w:p>
        </w:tc>
      </w:tr>
      <w:tr w:rsidR="00C56DFE" w:rsidRPr="0005456B" w:rsidTr="00C713F7">
        <w:trPr>
          <w:trHeight w:val="19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3.6</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машиниста буровой установки, допущенный для проведения работ в электроустановках</w:t>
            </w:r>
            <w:r w:rsidRPr="00C56DFE">
              <w:rPr>
                <w:rFonts w:cs="Arial"/>
                <w:color w:val="000000"/>
                <w:sz w:val="20"/>
                <w:szCs w:val="20"/>
              </w:rPr>
              <w:t xml:space="preserve"> с группой </w:t>
            </w:r>
            <w:r w:rsidRPr="00C56DFE">
              <w:rPr>
                <w:rFonts w:cs="Arial"/>
                <w:color w:val="000000"/>
                <w:sz w:val="20"/>
                <w:szCs w:val="20"/>
                <w:lang w:val="en-US"/>
              </w:rPr>
              <w:t>II</w:t>
            </w:r>
            <w:r w:rsidRPr="00C56DFE">
              <w:rPr>
                <w:rFonts w:cs="Arial"/>
                <w:color w:val="000000"/>
                <w:sz w:val="20"/>
                <w:szCs w:val="20"/>
              </w:rPr>
              <w:t xml:space="preserve"> по ЭБ</w:t>
            </w:r>
            <w:r w:rsidRPr="00C56DFE">
              <w:rPr>
                <w:rFonts w:cs="Arial"/>
                <w:sz w:val="20"/>
                <w:szCs w:val="20"/>
              </w:rPr>
              <w:t xml:space="preserve"> до и выше 1000 В с правами члена бригады,</w:t>
            </w:r>
          </w:p>
        </w:tc>
        <w:tc>
          <w:tcPr>
            <w:tcW w:w="3118" w:type="dxa"/>
            <w:vMerge/>
            <w:tcBorders>
              <w:top w:val="nil"/>
              <w:bottom w:val="single" w:sz="4" w:space="0" w:color="auto"/>
            </w:tcBorders>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чел.</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1</w:t>
            </w:r>
          </w:p>
        </w:tc>
      </w:tr>
      <w:tr w:rsidR="00C56DFE" w:rsidRPr="0005456B" w:rsidTr="00C713F7">
        <w:trPr>
          <w:trHeight w:val="19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4</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Наличие у контрагента необходимой спец. техники или ее аренда, оборудования для выполнения работ по предмету закупки:</w:t>
            </w:r>
          </w:p>
        </w:tc>
        <w:tc>
          <w:tcPr>
            <w:tcW w:w="3118" w:type="dxa"/>
            <w:vMerge w:val="restart"/>
            <w:tcBorders>
              <w:top w:val="single" w:sz="4" w:space="0" w:color="auto"/>
            </w:tcBorders>
            <w:shd w:val="clear" w:color="auto" w:fill="auto"/>
            <w:vAlign w:val="center"/>
          </w:tcPr>
          <w:p w:rsidR="00C56DFE" w:rsidRPr="00C56DFE" w:rsidRDefault="00C56DFE" w:rsidP="00C56DFE">
            <w:pPr>
              <w:rPr>
                <w:rFonts w:cs="Arial"/>
                <w:color w:val="000000"/>
                <w:sz w:val="20"/>
                <w:szCs w:val="20"/>
              </w:rPr>
            </w:pPr>
          </w:p>
          <w:p w:rsidR="00C56DFE" w:rsidRPr="00C56DFE" w:rsidRDefault="00C56DFE" w:rsidP="00C56DFE">
            <w:pPr>
              <w:rPr>
                <w:rFonts w:cs="Arial"/>
                <w:color w:val="000000"/>
                <w:sz w:val="20"/>
                <w:szCs w:val="20"/>
              </w:rPr>
            </w:pPr>
            <w:r w:rsidRPr="00C56DFE">
              <w:rPr>
                <w:rFonts w:cs="Arial"/>
                <w:color w:val="000000"/>
                <w:sz w:val="20"/>
                <w:szCs w:val="20"/>
              </w:rPr>
              <w:t>Справка о наличии или аренде специальной техники и оборудования</w:t>
            </w:r>
          </w:p>
          <w:p w:rsidR="00C56DFE" w:rsidRPr="00C56DFE" w:rsidRDefault="00C56DFE" w:rsidP="00C56DFE">
            <w:pPr>
              <w:rPr>
                <w:rFonts w:cs="Arial"/>
                <w:color w:val="000000"/>
                <w:sz w:val="20"/>
                <w:szCs w:val="20"/>
              </w:rPr>
            </w:pPr>
            <w:r w:rsidRPr="00C56DFE">
              <w:rPr>
                <w:rFonts w:cs="Arial"/>
                <w:color w:val="000000"/>
                <w:sz w:val="20"/>
                <w:szCs w:val="20"/>
              </w:rPr>
              <w:t>(Форма 9).</w:t>
            </w:r>
          </w:p>
        </w:tc>
        <w:tc>
          <w:tcPr>
            <w:tcW w:w="1418" w:type="dxa"/>
            <w:shd w:val="clear" w:color="000000" w:fill="FFFFFF"/>
            <w:vAlign w:val="center"/>
          </w:tcPr>
          <w:p w:rsidR="00C56DFE" w:rsidRPr="00C56DFE" w:rsidRDefault="00C56DFE" w:rsidP="00C56DFE">
            <w:pPr>
              <w:rPr>
                <w:rFonts w:cs="Arial"/>
                <w:color w:val="000000"/>
                <w:sz w:val="20"/>
                <w:szCs w:val="20"/>
              </w:rPr>
            </w:pPr>
          </w:p>
        </w:tc>
        <w:tc>
          <w:tcPr>
            <w:tcW w:w="1701" w:type="dxa"/>
            <w:shd w:val="clear" w:color="000000" w:fill="FFFFFF"/>
          </w:tcPr>
          <w:p w:rsidR="00C56DFE" w:rsidRPr="00C56DFE" w:rsidRDefault="00C56DFE" w:rsidP="00C56DFE">
            <w:pPr>
              <w:rPr>
                <w:rFonts w:cs="Arial"/>
                <w:color w:val="000000"/>
                <w:sz w:val="20"/>
                <w:szCs w:val="20"/>
              </w:rPr>
            </w:pPr>
          </w:p>
        </w:tc>
      </w:tr>
      <w:tr w:rsidR="00C56DFE" w:rsidRPr="0005456B" w:rsidTr="00C713F7">
        <w:trPr>
          <w:trHeight w:val="231"/>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4.1</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xml:space="preserve">- грузоподъемной техники </w:t>
            </w:r>
            <w:r w:rsidRPr="00C56DFE">
              <w:rPr>
                <w:rFonts w:cs="Arial"/>
                <w:sz w:val="20"/>
                <w:szCs w:val="20"/>
                <w:lang w:val="en-US"/>
              </w:rPr>
              <w:t>Q</w:t>
            </w:r>
            <w:r w:rsidRPr="00C56DFE">
              <w:rPr>
                <w:rFonts w:cs="Arial"/>
                <w:sz w:val="20"/>
                <w:szCs w:val="20"/>
              </w:rPr>
              <w:t xml:space="preserve"> = от 16  до 25 т;</w:t>
            </w:r>
          </w:p>
        </w:tc>
        <w:tc>
          <w:tcPr>
            <w:tcW w:w="3118" w:type="dxa"/>
            <w:vMerge/>
            <w:shd w:val="clear" w:color="auto" w:fill="auto"/>
            <w:vAlign w:val="center"/>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ед.</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1</w:t>
            </w:r>
          </w:p>
        </w:tc>
      </w:tr>
      <w:tr w:rsidR="00C56DFE" w:rsidRPr="0005456B" w:rsidTr="00C713F7">
        <w:trPr>
          <w:trHeight w:val="369"/>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4.2</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xml:space="preserve">- автогидроподъемника </w:t>
            </w:r>
            <w:r w:rsidRPr="00C56DFE">
              <w:rPr>
                <w:rFonts w:cs="Arial"/>
                <w:sz w:val="20"/>
                <w:szCs w:val="20"/>
                <w:lang w:val="en-US"/>
              </w:rPr>
              <w:t>h</w:t>
            </w:r>
            <w:r w:rsidRPr="00C56DFE">
              <w:rPr>
                <w:rFonts w:cs="Arial"/>
                <w:sz w:val="20"/>
                <w:szCs w:val="20"/>
              </w:rPr>
              <w:t>=22м и выше на шасси вездехода;</w:t>
            </w:r>
          </w:p>
        </w:tc>
        <w:tc>
          <w:tcPr>
            <w:tcW w:w="3118" w:type="dxa"/>
            <w:vMerge/>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ед.</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1</w:t>
            </w:r>
          </w:p>
        </w:tc>
      </w:tr>
      <w:tr w:rsidR="00C56DFE" w:rsidRPr="0005456B" w:rsidTr="00C713F7">
        <w:trPr>
          <w:trHeight w:val="355"/>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4.3</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буровой установки;</w:t>
            </w:r>
          </w:p>
        </w:tc>
        <w:tc>
          <w:tcPr>
            <w:tcW w:w="3118" w:type="dxa"/>
            <w:vMerge/>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ед.</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 xml:space="preserve">1 </w:t>
            </w:r>
          </w:p>
        </w:tc>
      </w:tr>
      <w:tr w:rsidR="00C56DFE" w:rsidRPr="0005456B" w:rsidTr="00C713F7">
        <w:trPr>
          <w:trHeight w:val="409"/>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4.4</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сварочного трансформатора;</w:t>
            </w:r>
          </w:p>
        </w:tc>
        <w:tc>
          <w:tcPr>
            <w:tcW w:w="3118" w:type="dxa"/>
            <w:vMerge/>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ед.</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 xml:space="preserve">1 </w:t>
            </w:r>
          </w:p>
        </w:tc>
      </w:tr>
      <w:tr w:rsidR="00C56DFE" w:rsidRPr="0005456B" w:rsidTr="00C713F7">
        <w:trPr>
          <w:trHeight w:val="401"/>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4.5</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монтажных приспособлений;</w:t>
            </w:r>
          </w:p>
        </w:tc>
        <w:tc>
          <w:tcPr>
            <w:tcW w:w="3118" w:type="dxa"/>
            <w:vMerge/>
            <w:tcBorders>
              <w:bottom w:val="nil"/>
            </w:tcBorders>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ед.</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1</w:t>
            </w:r>
          </w:p>
        </w:tc>
      </w:tr>
      <w:tr w:rsidR="00C56DFE" w:rsidRPr="0005456B" w:rsidTr="00C713F7">
        <w:trPr>
          <w:trHeight w:val="401"/>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4.6</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генератора сварочного;</w:t>
            </w:r>
          </w:p>
        </w:tc>
        <w:tc>
          <w:tcPr>
            <w:tcW w:w="3118" w:type="dxa"/>
            <w:tcBorders>
              <w:top w:val="nil"/>
              <w:bottom w:val="nil"/>
            </w:tcBorders>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ед.</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 xml:space="preserve">1 </w:t>
            </w:r>
          </w:p>
        </w:tc>
      </w:tr>
      <w:tr w:rsidR="00C56DFE" w:rsidRPr="0005456B" w:rsidTr="00C713F7">
        <w:trPr>
          <w:trHeight w:val="401"/>
        </w:trPr>
        <w:tc>
          <w:tcPr>
            <w:tcW w:w="724" w:type="dxa"/>
            <w:shd w:val="clear" w:color="auto" w:fill="auto"/>
            <w:noWrap/>
            <w:vAlign w:val="center"/>
          </w:tcPr>
          <w:p w:rsidR="00C56DFE" w:rsidRPr="00C56DFE" w:rsidRDefault="00C56DFE" w:rsidP="00C56DFE">
            <w:pPr>
              <w:rPr>
                <w:rFonts w:cs="Arial"/>
                <w:sz w:val="20"/>
                <w:szCs w:val="20"/>
              </w:rPr>
            </w:pPr>
            <w:r w:rsidRPr="00C56DFE">
              <w:rPr>
                <w:rFonts w:cs="Arial"/>
                <w:sz w:val="20"/>
                <w:szCs w:val="20"/>
              </w:rPr>
              <w:t>4.7</w:t>
            </w:r>
          </w:p>
        </w:tc>
        <w:tc>
          <w:tcPr>
            <w:tcW w:w="3671" w:type="dxa"/>
            <w:shd w:val="clear" w:color="auto" w:fill="auto"/>
          </w:tcPr>
          <w:p w:rsidR="00C56DFE" w:rsidRPr="00C56DFE" w:rsidRDefault="00C56DFE" w:rsidP="00C56DFE">
            <w:pPr>
              <w:rPr>
                <w:rFonts w:cs="Arial"/>
                <w:sz w:val="20"/>
                <w:szCs w:val="20"/>
              </w:rPr>
            </w:pPr>
            <w:r w:rsidRPr="00C56DFE">
              <w:rPr>
                <w:rFonts w:cs="Arial"/>
                <w:sz w:val="20"/>
                <w:szCs w:val="20"/>
              </w:rPr>
              <w:t>- механизма для соединения и резки проводов.</w:t>
            </w:r>
          </w:p>
        </w:tc>
        <w:tc>
          <w:tcPr>
            <w:tcW w:w="3118" w:type="dxa"/>
            <w:tcBorders>
              <w:top w:val="nil"/>
            </w:tcBorders>
            <w:shd w:val="clear" w:color="auto" w:fill="auto"/>
          </w:tcPr>
          <w:p w:rsidR="00C56DFE" w:rsidRPr="00C56DFE" w:rsidRDefault="00C56DFE" w:rsidP="00C56DFE">
            <w:pPr>
              <w:rPr>
                <w:rFonts w:cs="Arial"/>
                <w:color w:val="000000"/>
                <w:sz w:val="20"/>
                <w:szCs w:val="20"/>
              </w:rPr>
            </w:pPr>
          </w:p>
        </w:tc>
        <w:tc>
          <w:tcPr>
            <w:tcW w:w="1418"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ед.</w:t>
            </w:r>
          </w:p>
        </w:tc>
        <w:tc>
          <w:tcPr>
            <w:tcW w:w="1701" w:type="dxa"/>
            <w:shd w:val="clear" w:color="000000" w:fill="FFFFFF"/>
            <w:vAlign w:val="center"/>
          </w:tcPr>
          <w:p w:rsidR="00C56DFE" w:rsidRPr="00C56DFE" w:rsidRDefault="00C56DFE" w:rsidP="00C56DFE">
            <w:pPr>
              <w:rPr>
                <w:rFonts w:cs="Arial"/>
                <w:color w:val="000000"/>
                <w:sz w:val="20"/>
                <w:szCs w:val="20"/>
              </w:rPr>
            </w:pPr>
            <w:r w:rsidRPr="00C56DFE">
              <w:rPr>
                <w:rFonts w:cs="Arial"/>
                <w:color w:val="000000"/>
                <w:sz w:val="20"/>
                <w:szCs w:val="20"/>
              </w:rPr>
              <w:t xml:space="preserve">1 </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 xml:space="preserve">Все поставляемые для выполнения работ </w:t>
      </w:r>
      <w:r w:rsidR="007352D2">
        <w:rPr>
          <w:szCs w:val="22"/>
        </w:rPr>
        <w:t xml:space="preserve">материалы, оборудование, инструмент </w:t>
      </w:r>
      <w:r>
        <w:rPr>
          <w:szCs w:val="22"/>
        </w:rPr>
        <w:t>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w:t>
      </w:r>
      <w:bookmarkStart w:id="0" w:name="_GoBack"/>
      <w:bookmarkEnd w:id="0"/>
      <w:r w:rsidRPr="002E571A">
        <w:rPr>
          <w:b/>
        </w:rPr>
        <w:t>ние о согласии сделать оферту»</w:t>
      </w:r>
    </w:p>
    <w:p w:rsidR="00FE695C" w:rsidRDefault="00FE695C" w:rsidP="00B445D7">
      <w:pPr>
        <w:jc w:val="center"/>
        <w:rPr>
          <w:rFonts w:cs="Arial"/>
          <w:b/>
          <w:szCs w:val="22"/>
        </w:rPr>
      </w:pP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A3E2C">
        <w:rPr>
          <w:szCs w:val="22"/>
        </w:rPr>
        <w:t xml:space="preserve">делать </w:t>
      </w:r>
      <w:r w:rsidRPr="00296437">
        <w:rPr>
          <w:szCs w:val="22"/>
        </w:rPr>
        <w:t xml:space="preserve">оферты </w:t>
      </w:r>
      <w:r w:rsidR="008761AE" w:rsidRPr="00AC0E7F">
        <w:rPr>
          <w:szCs w:val="22"/>
        </w:rPr>
        <w:t>№</w:t>
      </w:r>
      <w:r w:rsidR="00FE695C">
        <w:rPr>
          <w:szCs w:val="22"/>
        </w:rPr>
        <w:t xml:space="preserve"> </w:t>
      </w:r>
      <w:r w:rsidR="00AC0E7F" w:rsidRPr="00AC0E7F">
        <w:rPr>
          <w:szCs w:val="22"/>
        </w:rPr>
        <w:t>113</w:t>
      </w:r>
      <w:r w:rsidR="008761AE" w:rsidRPr="00AC0E7F">
        <w:rPr>
          <w:szCs w:val="22"/>
        </w:rPr>
        <w:t>-КР-</w:t>
      </w:r>
      <w:r w:rsidR="008761AE" w:rsidRPr="00FE695C">
        <w:rPr>
          <w:szCs w:val="22"/>
        </w:rPr>
        <w:t>201</w:t>
      </w:r>
      <w:r w:rsidR="005A3E2C" w:rsidRPr="00FE695C">
        <w:rPr>
          <w:szCs w:val="22"/>
        </w:rPr>
        <w:t>8</w:t>
      </w:r>
      <w:r w:rsidRPr="00FE695C">
        <w:rPr>
          <w:szCs w:val="22"/>
        </w:rPr>
        <w:t xml:space="preserve"> </w:t>
      </w:r>
      <w:r w:rsidR="00FE695C" w:rsidRPr="00FE695C">
        <w:rPr>
          <w:szCs w:val="22"/>
        </w:rPr>
        <w:t>22.03.2018 г.</w:t>
      </w:r>
      <w:r w:rsidRPr="00FE695C">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8F6C3B" w:rsidRPr="0090353E">
        <w:rPr>
          <w:rFonts w:cs="Arial"/>
          <w:b/>
          <w:szCs w:val="22"/>
        </w:rPr>
        <w:t xml:space="preserve">выполнение работ </w:t>
      </w:r>
      <w:r w:rsidR="00C713F7">
        <w:rPr>
          <w:rFonts w:cs="Arial"/>
          <w:b/>
          <w:szCs w:val="22"/>
        </w:rPr>
        <w:t xml:space="preserve">по </w:t>
      </w:r>
      <w:r w:rsidR="00C713F7" w:rsidRPr="003B33CC">
        <w:rPr>
          <w:b/>
          <w:szCs w:val="22"/>
        </w:rPr>
        <w:t>ремонту железобетонных опор ВЛ-35 кВ "Заводская-</w:t>
      </w:r>
      <w:r w:rsidR="00C713F7">
        <w:rPr>
          <w:b/>
          <w:szCs w:val="22"/>
        </w:rPr>
        <w:t xml:space="preserve">1", "Заводская-5", "Мазутная", </w:t>
      </w:r>
      <w:r w:rsidR="00C713F7" w:rsidRPr="003B33CC">
        <w:rPr>
          <w:b/>
          <w:szCs w:val="22"/>
        </w:rPr>
        <w:t>ВЛ-110 кВ "Топливная" вне графика простоев цех №17</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Default="001319DA" w:rsidP="001319DA">
      <w:pPr>
        <w:ind w:left="5400"/>
        <w:jc w:val="both"/>
        <w:rPr>
          <w:rFonts w:cs="Arial"/>
          <w:szCs w:val="22"/>
        </w:rPr>
      </w:pPr>
      <w:r w:rsidRPr="00845BB6">
        <w:rPr>
          <w:rFonts w:cs="Arial"/>
          <w:szCs w:val="22"/>
        </w:rPr>
        <w:t>Адрес: 150023, г. Ярославль, Московский пр., д.130</w:t>
      </w:r>
    </w:p>
    <w:p w:rsidR="008F6C3B" w:rsidRDefault="008F6C3B" w:rsidP="001319DA">
      <w:pPr>
        <w:ind w:left="5400"/>
        <w:jc w:val="both"/>
        <w:rPr>
          <w:rFonts w:cs="Arial"/>
          <w:szCs w:val="22"/>
        </w:rPr>
      </w:pPr>
    </w:p>
    <w:p w:rsidR="008F6C3B" w:rsidRPr="00845BB6" w:rsidRDefault="008F6C3B" w:rsidP="001319DA">
      <w:pPr>
        <w:ind w:left="5400"/>
        <w:jc w:val="both"/>
        <w:rPr>
          <w:rFonts w:cs="Arial"/>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0"/>
        <w:gridCol w:w="3046"/>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8F6C3B" w:rsidP="00766E12">
            <w:pPr>
              <w:tabs>
                <w:tab w:val="left" w:pos="3240"/>
              </w:tabs>
              <w:rPr>
                <w:rFonts w:ascii="Times New Roman" w:hAnsi="Times New Roman"/>
                <w:sz w:val="24"/>
              </w:rPr>
            </w:pPr>
            <w:r w:rsidRPr="008F6C3B">
              <w:rPr>
                <w:rFonts w:ascii="Times New Roman" w:hAnsi="Times New Roman"/>
                <w:sz w:val="24"/>
              </w:rPr>
              <w:t xml:space="preserve">Выполнение работ по </w:t>
            </w:r>
            <w:r w:rsidR="00C713F7" w:rsidRPr="00C713F7">
              <w:rPr>
                <w:rFonts w:ascii="Times New Roman" w:hAnsi="Times New Roman"/>
                <w:sz w:val="24"/>
              </w:rPr>
              <w:t>ремонту железобетонных опор ВЛ-35 кВ "Заводская-1", "Заводская-5", "Мазутная", ВЛ-110 кВ "Топливная" вне графика простоев цех №17</w:t>
            </w:r>
          </w:p>
        </w:tc>
      </w:tr>
      <w:tr w:rsidR="00F30C65" w:rsidRPr="00F30C65" w:rsidTr="00DA41EF">
        <w:trPr>
          <w:trHeight w:val="521"/>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DA41EF">
        <w:trPr>
          <w:trHeight w:val="675"/>
        </w:trPr>
        <w:tc>
          <w:tcPr>
            <w:tcW w:w="6369"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3B1DC1">
        <w:trPr>
          <w:trHeight w:val="536"/>
        </w:trPr>
        <w:tc>
          <w:tcPr>
            <w:tcW w:w="6369"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093"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0548CD" w:rsidRDefault="000548CD">
      <w:pPr>
        <w:spacing w:before="0" w:line="276" w:lineRule="auto"/>
        <w:jc w:val="center"/>
        <w:rPr>
          <w:b/>
        </w:rPr>
      </w:pPr>
      <w:r>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FE695C"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6DFE" w:rsidRDefault="00C56DFE"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C56DFE" w:rsidRDefault="00C56DFE"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8F6C3B" w:rsidP="000548CD">
      <w:pPr>
        <w:jc w:val="center"/>
        <w:rPr>
          <w:rFonts w:cs="Arial"/>
          <w:szCs w:val="22"/>
        </w:rPr>
      </w:pPr>
      <w:r>
        <w:rPr>
          <w:rFonts w:cs="Arial"/>
          <w:b/>
          <w:szCs w:val="22"/>
        </w:rPr>
        <w:t>по выполнению</w:t>
      </w:r>
      <w:r w:rsidRPr="0090353E">
        <w:rPr>
          <w:rFonts w:cs="Arial"/>
          <w:b/>
          <w:szCs w:val="22"/>
        </w:rPr>
        <w:t xml:space="preserve"> работ по </w:t>
      </w:r>
      <w:r w:rsidR="00C713F7" w:rsidRPr="003B33CC">
        <w:rPr>
          <w:b/>
          <w:szCs w:val="22"/>
        </w:rPr>
        <w:t>ремонту железобетонных опор ВЛ-35 кВ "Заводская-</w:t>
      </w:r>
      <w:r w:rsidR="00C713F7">
        <w:rPr>
          <w:b/>
          <w:szCs w:val="22"/>
        </w:rPr>
        <w:t xml:space="preserve">1", "Заводская-5", "Мазутная", </w:t>
      </w:r>
      <w:r w:rsidR="00C713F7" w:rsidRPr="003B33CC">
        <w:rPr>
          <w:b/>
          <w:szCs w:val="22"/>
        </w:rPr>
        <w:t>ВЛ-110 кВ "Топливная" вне графика простоев цех №17</w:t>
      </w:r>
      <w:r w:rsidR="000548CD" w:rsidRPr="000548CD">
        <w:rPr>
          <w:rFonts w:cs="Arial"/>
          <w:b/>
          <w:i/>
          <w:szCs w:val="22"/>
        </w:rPr>
        <w:t>.</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6F4" w:rsidRDefault="009D66F4" w:rsidP="00FB07D9">
      <w:pPr>
        <w:spacing w:before="0"/>
      </w:pPr>
      <w:r>
        <w:separator/>
      </w:r>
    </w:p>
  </w:endnote>
  <w:endnote w:type="continuationSeparator" w:id="0">
    <w:p w:rsidR="009D66F4" w:rsidRDefault="009D66F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DFE" w:rsidRDefault="00C56DF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DFE" w:rsidRDefault="00C56DF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6F4" w:rsidRDefault="009D66F4" w:rsidP="00FB07D9">
      <w:pPr>
        <w:spacing w:before="0"/>
      </w:pPr>
      <w:r>
        <w:separator/>
      </w:r>
    </w:p>
  </w:footnote>
  <w:footnote w:type="continuationSeparator" w:id="0">
    <w:p w:rsidR="009D66F4" w:rsidRDefault="009D66F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30A"/>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08"/>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437"/>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A1C"/>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4697"/>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9FD"/>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08AB"/>
    <w:rsid w:val="00621038"/>
    <w:rsid w:val="0062132A"/>
    <w:rsid w:val="006217BE"/>
    <w:rsid w:val="00621946"/>
    <w:rsid w:val="00621C87"/>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2D2"/>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2E9F"/>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7EC"/>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069"/>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C3B"/>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6F4"/>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77DFD"/>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9B6"/>
    <w:rsid w:val="00AC0E7F"/>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9B6"/>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BA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2BAA"/>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DFE"/>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7"/>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0BC2"/>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95C"/>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12627A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3116</Words>
  <Characters>17766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2018-02-28T13:56:00Z</cp:lastPrinted>
  <dcterms:created xsi:type="dcterms:W3CDTF">2018-03-22T08:18:00Z</dcterms:created>
  <dcterms:modified xsi:type="dcterms:W3CDTF">2018-03-22T08:18:00Z</dcterms:modified>
</cp:coreProperties>
</file>